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14A2" w14:textId="77777777" w:rsidR="00091262" w:rsidRPr="00091262" w:rsidRDefault="00091262" w:rsidP="00091262">
      <w:pPr>
        <w:adjustRightInd w:val="0"/>
        <w:snapToGrid w:val="0"/>
        <w:spacing w:beforeLines="100" w:before="312" w:afterLines="50" w:after="156"/>
        <w:jc w:val="left"/>
        <w:rPr>
          <w:rFonts w:ascii="Times New Roman" w:eastAsia="微软雅黑" w:hAnsi="Times New Roman" w:cs="Times New Roman"/>
          <w:color w:val="000000"/>
          <w:sz w:val="22"/>
          <w14:ligatures w14:val="none"/>
        </w:rPr>
      </w:pPr>
      <w:r w:rsidRPr="00091262">
        <w:rPr>
          <w:rFonts w:ascii="Times New Roman" w:eastAsia="微软雅黑" w:hAnsi="Times New Roman" w:cs="Times New Roman"/>
          <w:color w:val="000000"/>
          <w:sz w:val="22"/>
          <w14:ligatures w14:val="none"/>
        </w:rPr>
        <w:t>HER2-SRM analysis was performed on a liquid chromatograph (LC) (Waters ACQUITY UPLC M-Class System) connected to a triple quadrupole mass spectrometer (Thermo TSQ-Altis).</w:t>
      </w:r>
    </w:p>
    <w:p w14:paraId="3AC2563B" w14:textId="77777777" w:rsidR="00091262" w:rsidRPr="00091262" w:rsidRDefault="00091262" w:rsidP="00091262">
      <w:pPr>
        <w:adjustRightInd w:val="0"/>
        <w:snapToGrid w:val="0"/>
        <w:spacing w:beforeLines="100" w:before="312" w:afterLines="50" w:after="156"/>
        <w:jc w:val="left"/>
        <w:rPr>
          <w:rFonts w:ascii="Times New Roman" w:eastAsia="微软雅黑" w:hAnsi="Times New Roman" w:cs="Times New Roman"/>
          <w:color w:val="000000"/>
          <w:sz w:val="22"/>
          <w14:ligatures w14:val="none"/>
        </w:rPr>
      </w:pPr>
      <w:r w:rsidRPr="00091262">
        <w:rPr>
          <w:rFonts w:ascii="Times New Roman" w:eastAsia="微软雅黑" w:hAnsi="Times New Roman" w:cs="Times New Roman"/>
          <w:color w:val="000000"/>
          <w:sz w:val="22"/>
          <w14:ligatures w14:val="none"/>
        </w:rPr>
        <w:t>An LC gradient was use used to elute peptides. The flow phase A was water with 0.1% formic acid (Thermo Scientific, LS118), and the flow phase B was acetonitrile with 0.1% formic acid (Thermo Scientific, LS120). The chromatographic column set included a trap column (</w:t>
      </w:r>
      <w:proofErr w:type="spellStart"/>
      <w:r w:rsidRPr="00091262">
        <w:rPr>
          <w:rFonts w:ascii="Times New Roman" w:eastAsia="微软雅黑" w:hAnsi="Times New Roman" w:cs="Times New Roman"/>
          <w:color w:val="000000"/>
          <w:sz w:val="22"/>
          <w14:ligatures w14:val="none"/>
        </w:rPr>
        <w:t>nanoEase</w:t>
      </w:r>
      <w:proofErr w:type="spellEnd"/>
      <w:r w:rsidRPr="00091262">
        <w:rPr>
          <w:rFonts w:ascii="Times New Roman" w:eastAsia="微软雅黑" w:hAnsi="Times New Roman" w:cs="Times New Roman"/>
          <w:color w:val="000000"/>
          <w:sz w:val="22"/>
          <w14:ligatures w14:val="none"/>
        </w:rPr>
        <w:t xml:space="preserve"> MZ Symmetry C18 Trap Column, 100A, 5 µm 180 µm x 20mm) and an analytical column (</w:t>
      </w:r>
      <w:proofErr w:type="spellStart"/>
      <w:r w:rsidRPr="00091262">
        <w:rPr>
          <w:rFonts w:ascii="Times New Roman" w:eastAsia="微软雅黑" w:hAnsi="Times New Roman" w:cs="Times New Roman"/>
          <w:color w:val="000000"/>
          <w:sz w:val="22"/>
          <w14:ligatures w14:val="none"/>
        </w:rPr>
        <w:t>nanoEase</w:t>
      </w:r>
      <w:proofErr w:type="spellEnd"/>
      <w:r w:rsidRPr="00091262">
        <w:rPr>
          <w:rFonts w:ascii="Times New Roman" w:eastAsia="微软雅黑" w:hAnsi="Times New Roman" w:cs="Times New Roman"/>
          <w:color w:val="000000"/>
          <w:sz w:val="22"/>
          <w14:ligatures w14:val="none"/>
        </w:rPr>
        <w:t xml:space="preserve"> MZ HSS T3 Column, 100Å, 1.8 µm, 100 µm x 100 mm).</w:t>
      </w:r>
    </w:p>
    <w:p w14:paraId="4C72E4EF" w14:textId="77777777" w:rsidR="00091262" w:rsidRPr="00091262" w:rsidRDefault="00091262" w:rsidP="00091262">
      <w:pPr>
        <w:adjustRightInd w:val="0"/>
        <w:snapToGrid w:val="0"/>
        <w:spacing w:beforeLines="100" w:before="312" w:afterLines="50" w:after="156"/>
        <w:jc w:val="left"/>
        <w:rPr>
          <w:rFonts w:ascii="Times New Roman" w:eastAsia="微软雅黑" w:hAnsi="Times New Roman" w:cs="Times New Roman"/>
          <w:color w:val="000000"/>
          <w:sz w:val="22"/>
          <w14:ligatures w14:val="none"/>
        </w:rPr>
      </w:pPr>
      <w:r w:rsidRPr="00091262">
        <w:rPr>
          <w:rFonts w:ascii="Times New Roman" w:eastAsia="微软雅黑" w:hAnsi="Times New Roman" w:cs="Times New Roman"/>
          <w:color w:val="000000"/>
          <w:sz w:val="22"/>
          <w14:ligatures w14:val="none"/>
        </w:rPr>
        <w:t xml:space="preserve">Peptides were eluted into the mass spectrometer using the following gradient: loaded onto trap column for 5 min with buffer A at a flow rate of 5 µl/min and eluted with buffer B using a step gradient at 800 </w:t>
      </w:r>
      <w:proofErr w:type="spellStart"/>
      <w:r w:rsidRPr="00091262">
        <w:rPr>
          <w:rFonts w:ascii="Times New Roman" w:eastAsia="微软雅黑" w:hAnsi="Times New Roman" w:cs="Times New Roman"/>
          <w:color w:val="000000"/>
          <w:sz w:val="22"/>
          <w14:ligatures w14:val="none"/>
        </w:rPr>
        <w:t>nl</w:t>
      </w:r>
      <w:proofErr w:type="spellEnd"/>
      <w:r w:rsidRPr="00091262">
        <w:rPr>
          <w:rFonts w:ascii="Times New Roman" w:eastAsia="微软雅黑" w:hAnsi="Times New Roman" w:cs="Times New Roman"/>
          <w:color w:val="000000"/>
          <w:sz w:val="22"/>
          <w14:ligatures w14:val="none"/>
        </w:rPr>
        <w:t>/min. Buffer B was increased from 1–25% (8 min), 25–50% (7 min), and 50–95% (3 min). Finally, the column was cleaned with buffer B for 6 min and equilibrated with buffer A for 4 min.</w:t>
      </w:r>
    </w:p>
    <w:p w14:paraId="6EC573F2" w14:textId="77777777" w:rsidR="00091262" w:rsidRPr="00091262" w:rsidRDefault="00091262" w:rsidP="00091262">
      <w:pPr>
        <w:adjustRightInd w:val="0"/>
        <w:snapToGrid w:val="0"/>
        <w:spacing w:beforeLines="100" w:before="312" w:afterLines="50" w:after="156"/>
        <w:jc w:val="left"/>
        <w:rPr>
          <w:rFonts w:ascii="Times New Roman" w:eastAsia="微软雅黑" w:hAnsi="Times New Roman" w:cs="Times New Roman"/>
          <w:color w:val="000000"/>
          <w:sz w:val="22"/>
          <w14:ligatures w14:val="none"/>
        </w:rPr>
      </w:pPr>
      <w:r w:rsidRPr="00091262">
        <w:rPr>
          <w:rFonts w:ascii="Times New Roman" w:eastAsia="微软雅黑" w:hAnsi="Times New Roman" w:cs="Times New Roman"/>
          <w:color w:val="000000"/>
          <w:sz w:val="22"/>
          <w14:ligatures w14:val="none"/>
        </w:rPr>
        <w:t>Mass spectrometry method: Thermo TSQ-Altis mass spectrometer was operated in positive NSI mode and were used for the SRM assays: Q1(FWHM):0.7, Q3(FWHM): 0.7, dwell time: 100 ms, electrospray voltage: 2.3 kV, collision gas: 2 mTorr. The precursor ions for the light and heavy peptides are m/z 483.748 and 488.752. The fragment ions for the light and heavy peptides and their corresponding optimized collision energy are m/z 409.218 (17V)/538.261 (17V)/625.294 (17V) and 419.227 (17V)/548.270 (17V)/635.302 (17V), respectively.</w:t>
      </w:r>
    </w:p>
    <w:p w14:paraId="19DC8FBB" w14:textId="77777777" w:rsidR="00825AC8" w:rsidRPr="00091262" w:rsidRDefault="00825AC8"/>
    <w:sectPr w:rsidR="00825AC8" w:rsidRPr="00091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9B8D" w14:textId="77777777" w:rsidR="00DE3968" w:rsidRDefault="00DE3968" w:rsidP="00091262">
      <w:r>
        <w:separator/>
      </w:r>
    </w:p>
  </w:endnote>
  <w:endnote w:type="continuationSeparator" w:id="0">
    <w:p w14:paraId="0D7A00A8" w14:textId="77777777" w:rsidR="00DE3968" w:rsidRDefault="00DE3968" w:rsidP="0009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A103" w14:textId="77777777" w:rsidR="00DE3968" w:rsidRDefault="00DE3968" w:rsidP="00091262">
      <w:r>
        <w:separator/>
      </w:r>
    </w:p>
  </w:footnote>
  <w:footnote w:type="continuationSeparator" w:id="0">
    <w:p w14:paraId="199D2B09" w14:textId="77777777" w:rsidR="00DE3968" w:rsidRDefault="00DE3968" w:rsidP="00091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C8"/>
    <w:rsid w:val="00091262"/>
    <w:rsid w:val="00825AC8"/>
    <w:rsid w:val="00D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2356907-3006-44A4-BD82-5061003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262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091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262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 Zhang</dc:creator>
  <cp:keywords/>
  <dc:description/>
  <cp:lastModifiedBy>Jingjing Zhang</cp:lastModifiedBy>
  <cp:revision>2</cp:revision>
  <dcterms:created xsi:type="dcterms:W3CDTF">2023-04-18T06:24:00Z</dcterms:created>
  <dcterms:modified xsi:type="dcterms:W3CDTF">2023-04-18T06:25:00Z</dcterms:modified>
</cp:coreProperties>
</file>