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34A71596" w:rsidP="0663E35F" w:rsidRDefault="34A71596" w14:paraId="77C7D9AD" w14:textId="59197DEA">
      <w:pPr>
        <w:spacing w:beforeAutospacing="on" w:afterAutospacing="on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AU"/>
        </w:rPr>
      </w:pPr>
      <w:r w:rsidRPr="0663E35F" w:rsidR="34A71596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4"/>
          <w:szCs w:val="24"/>
          <w:lang w:val="en-AU"/>
        </w:rPr>
        <w:t>2.7.4.4 Data Processing and Statistical Analysis</w:t>
      </w:r>
    </w:p>
    <w:p w:rsidR="34A71596" w:rsidP="0663E35F" w:rsidRDefault="34A71596" w14:paraId="22EE5E74" w14:textId="0E0EFB35">
      <w:pPr>
        <w:spacing w:beforeAutospacing="on" w:afterAutospacing="on"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AU"/>
        </w:rPr>
      </w:pPr>
      <w:r w:rsidRPr="0663E35F" w:rsidR="34A7159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AU"/>
        </w:rPr>
        <w:t>Data were processed using Spectronaut v19.5, which implemented the DirectDIA+ workflow with the Biognosys Standard (BGS) analysis framework. The canonical human reference proteome (UniProt, released 24 January 2024; 17,179 entries) was used as the reference database. Searches were conducted using Pulsar, with enzymatic specificity for trypsin/P and LysC/P, allowing up to 2 missed cleavages. Peptide lengths were restricted to 7–52 amino acids. Carbamidomethylation (C) was set as a fixed modification, while variable modifications included protein N-terminal acetylation, methionine oxidation, and methylation and demethylation. A maximum of five variable modifications per peptide was permitted. Peptide-spectrum matches (PSMs), peptides, and protein groups were filtered at a % false discovery rate (FDR) of 1%. Label-free quantification (LFQ) was performed automatically using MS2 area integration with default normalisation strategies. Protein inference employed the IDPicker algorithm.</w:t>
      </w:r>
    </w:p>
    <w:p w:rsidR="34A71596" w:rsidP="0663E35F" w:rsidRDefault="34A71596" w14:paraId="52C33F26" w14:textId="7758B0B0">
      <w:pPr>
        <w:spacing w:beforeAutospacing="on" w:afterAutospacing="on"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AU"/>
        </w:rPr>
      </w:pPr>
      <w:r w:rsidRPr="0663E35F" w:rsidR="34A71596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AU"/>
        </w:rPr>
        <w:t>Ingenuity Pathway Analysis (IPA, Qiagen) was implemented for pathway enrichment analyses using differentially expressed proteins (DEPs at absolute Log2FC   0.58 and Q 0.05) to identify canonical pathways responsible for the antiproliferative mechanisms of mono treatment vs. control and the synergistic effects of the combinations vs. the mono-treatments against the HKB-11 lymphoma cells.</w:t>
      </w:r>
    </w:p>
    <w:p w:rsidR="0663E35F" w:rsidP="0663E35F" w:rsidRDefault="0663E35F" w14:paraId="3C3D683F" w14:textId="5086EEC0">
      <w:pPr>
        <w:spacing w:beforeAutospacing="on" w:afterAutospacing="on" w:line="240" w:lineRule="auto"/>
        <w:jc w:val="both"/>
        <w:rPr>
          <w:rFonts w:ascii="Times New Roman" w:hAnsi="Times New Roman" w:eastAsia="Times New Roman" w:cs="Times New Roman"/>
          <w:i w:val="1"/>
          <w:iCs w:val="1"/>
          <w:lang w:val="en-AU"/>
        </w:rPr>
      </w:pPr>
    </w:p>
    <w:p w:rsidR="00FD3E5D" w:rsidP="61A542D2" w:rsidRDefault="0349C55B" w14:paraId="0A31FA02" w14:textId="29429469">
      <w:pPr>
        <w:spacing w:beforeAutospacing="1" w:afterAutospacing="1" w:line="360" w:lineRule="auto"/>
        <w:jc w:val="both"/>
        <w:rPr>
          <w:rFonts w:ascii="Times New Roman" w:hAnsi="Times New Roman" w:eastAsia="Times New Roman" w:cs="Times New Roman"/>
        </w:rPr>
      </w:pPr>
      <w:r w:rsidRPr="61A542D2">
        <w:rPr>
          <w:rFonts w:ascii="Times New Roman" w:hAnsi="Times New Roman" w:eastAsia="Times New Roman" w:cs="Times New Roman"/>
          <w:lang w:val="en-AU"/>
        </w:rPr>
        <w:t>Data were processed using Spectronaut v19.5, which implemented the DirectDIA+ workflow with the Biognosys Standard (BGS) analysis framework. The canonical human reference proteome (UniProt, released 24 January 2024; 17,179 entries) was used as the reference database. Searches were conducted using Pulsar, with enzymatic specificity for trypsin/P and LysC/P, allowing up to 2 missed cleavages. Peptide lengths were restricted to 7–52 amino acids. Carbamidomethylation (C) was set as a fixed modification, while variable modifications included protein N-terminal acetylation, methionine oxidation, and methylation and demethylation. A maximum of five variable modifications per peptide was permitted. Peptide-spectrum matches (PSMs), peptides, and protein groups were filtered at a % false discovery rate (FDR) of 1%. Label-free quantification (LFQ) was performed automatically using MS2 area integration with default normalisation strategies. Protein inference employed the IDPicker algorithm.</w:t>
      </w:r>
    </w:p>
    <w:p w:rsidR="00FD3E5D" w:rsidP="61A542D2" w:rsidRDefault="0349C55B" w14:paraId="6BC54EBA" w14:textId="5938C0A0">
      <w:pPr>
        <w:spacing w:beforeAutospacing="1" w:afterAutospacing="1" w:line="360" w:lineRule="auto"/>
        <w:jc w:val="both"/>
        <w:rPr>
          <w:rFonts w:ascii="Times New Roman" w:hAnsi="Times New Roman" w:eastAsia="Times New Roman" w:cs="Times New Roman"/>
        </w:rPr>
      </w:pPr>
      <w:r w:rsidRPr="61A542D2">
        <w:rPr>
          <w:rFonts w:ascii="Times New Roman" w:hAnsi="Times New Roman" w:eastAsia="Times New Roman" w:cs="Times New Roman"/>
          <w:lang w:val="en-AU"/>
        </w:rPr>
        <w:t>Ingenuity Pathway Analysis (IPA, Qiagen) was implemented for pathway enrichment analyses using differentially expressed proteins (DEPs at absolute Log2FC   0.58 and Q 0.05) to identify canonical pathways responsible for the antiproliferative mechanisms of mono treatment vs. control and the synergistic effects of the combinations vs. the mono-treatments against the HKB-11 lymphoma cells.</w:t>
      </w:r>
    </w:p>
    <w:p w:rsidR="00FD3E5D" w:rsidRDefault="00FD3E5D" w14:paraId="2C078E63" w14:textId="2198F9FA"/>
    <w:sectPr w:rsidR="00FD3E5D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7AD90CD"/>
    <w:rsid w:val="007646B0"/>
    <w:rsid w:val="00FD3E5D"/>
    <w:rsid w:val="0349C55B"/>
    <w:rsid w:val="0663E35F"/>
    <w:rsid w:val="07AD90CD"/>
    <w:rsid w:val="34A71596"/>
    <w:rsid w:val="61A5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D90CD"/>
  <w15:chartTrackingRefBased/>
  <w15:docId w15:val="{5E8D225E-1164-4806-B155-0D7AA22DE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Muhammad (Maz) Ali</dc:creator>
  <keywords/>
  <dc:description/>
  <lastModifiedBy>Muhammad (Maz) Ali</lastModifiedBy>
  <revision>2</revision>
  <dcterms:created xsi:type="dcterms:W3CDTF">2025-07-07T02:02:00.0000000Z</dcterms:created>
  <dcterms:modified xsi:type="dcterms:W3CDTF">2025-07-07T02:02:55.0735340Z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96a7106-2ce5-432c-ad85-ae4596379748_Enabled">
    <vt:lpwstr>true</vt:lpwstr>
  </property>
  <property fmtid="{D5CDD505-2E9C-101B-9397-08002B2CF9AE}" pid="3" name="MSIP_Label_c96a7106-2ce5-432c-ad85-ae4596379748_SetDate">
    <vt:lpwstr>2025-07-07T02:02:15Z</vt:lpwstr>
  </property>
  <property fmtid="{D5CDD505-2E9C-101B-9397-08002B2CF9AE}" pid="4" name="MSIP_Label_c96a7106-2ce5-432c-ad85-ae4596379748_Method">
    <vt:lpwstr>Standard</vt:lpwstr>
  </property>
  <property fmtid="{D5CDD505-2E9C-101B-9397-08002B2CF9AE}" pid="5" name="MSIP_Label_c96a7106-2ce5-432c-ad85-ae4596379748_Name">
    <vt:lpwstr>PRIVATE</vt:lpwstr>
  </property>
  <property fmtid="{D5CDD505-2E9C-101B-9397-08002B2CF9AE}" pid="6" name="MSIP_Label_c96a7106-2ce5-432c-ad85-ae4596379748_SiteId">
    <vt:lpwstr>7e400554-fd39-487a-894e-4d95dae53d4d</vt:lpwstr>
  </property>
  <property fmtid="{D5CDD505-2E9C-101B-9397-08002B2CF9AE}" pid="7" name="MSIP_Label_c96a7106-2ce5-432c-ad85-ae4596379748_ActionId">
    <vt:lpwstr>205d4cc1-376b-4e29-98d6-fc8f2be45fa4</vt:lpwstr>
  </property>
  <property fmtid="{D5CDD505-2E9C-101B-9397-08002B2CF9AE}" pid="8" name="MSIP_Label_c96a7106-2ce5-432c-ad85-ae4596379748_ContentBits">
    <vt:lpwstr>0</vt:lpwstr>
  </property>
  <property fmtid="{D5CDD505-2E9C-101B-9397-08002B2CF9AE}" pid="9" name="MSIP_Label_c96a7106-2ce5-432c-ad85-ae4596379748_Tag">
    <vt:lpwstr>10, 3, 0, 2</vt:lpwstr>
  </property>
</Properties>
</file>