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24ED" w:rsidP="2D9F5D53" w:rsidRDefault="700C64C0" w14:paraId="599B9457" w14:textId="2BC70340">
      <w:pPr>
        <w:spacing w:after="0" w:line="360" w:lineRule="auto"/>
        <w:jc w:val="both"/>
        <w:rPr>
          <w:rFonts w:ascii="Times New Roman" w:hAnsi="Times New Roman" w:eastAsia="Times New Roman" w:cs="Times New Roman"/>
        </w:rPr>
      </w:pPr>
      <w:r w:rsidRPr="29E68B05" w:rsidR="700C64C0">
        <w:rPr>
          <w:rFonts w:ascii="Times New Roman" w:hAnsi="Times New Roman" w:eastAsia="Times New Roman" w:cs="Times New Roman"/>
          <w:b w:val="1"/>
          <w:bCs w:val="1"/>
          <w:lang w:val="en-AU"/>
        </w:rPr>
        <w:t>Liquid chromatography-mass spectrometry (LC–MS)-driven bottom-up proteomics analysis</w:t>
      </w:r>
    </w:p>
    <w:p w:rsidR="00A724ED" w:rsidP="2D9F5D53" w:rsidRDefault="700C64C0" w14:paraId="7D548CC8" w14:textId="64DF3901">
      <w:pPr>
        <w:spacing w:after="0" w:line="360" w:lineRule="auto"/>
        <w:jc w:val="both"/>
        <w:rPr>
          <w:rFonts w:ascii="Times New Roman" w:hAnsi="Times New Roman" w:eastAsia="Times New Roman" w:cs="Times New Roman"/>
        </w:rPr>
      </w:pPr>
      <w:r w:rsidRPr="29E68B05" w:rsidR="700C64C0">
        <w:rPr>
          <w:rFonts w:ascii="Times New Roman" w:hAnsi="Times New Roman" w:eastAsia="Times New Roman" w:cs="Times New Roman"/>
          <w:b w:val="1"/>
          <w:bCs w:val="1"/>
          <w:i w:val="1"/>
          <w:iCs w:val="1"/>
          <w:lang w:val="en-AU"/>
        </w:rPr>
        <w:t>Cell culture, treatment, and protein extraction</w:t>
      </w:r>
    </w:p>
    <w:p w:rsidR="00A724ED" w:rsidP="2D9F5D53" w:rsidRDefault="700C64C0" w14:paraId="742DE1A0" w14:textId="05C23805">
      <w:pPr>
        <w:spacing w:after="0" w:line="360" w:lineRule="auto"/>
        <w:jc w:val="both"/>
        <w:rPr>
          <w:rFonts w:ascii="Times New Roman" w:hAnsi="Times New Roman" w:eastAsia="Times New Roman" w:cs="Times New Roman"/>
        </w:rPr>
      </w:pPr>
      <w:r w:rsidRPr="2D9F5D53">
        <w:rPr>
          <w:rFonts w:ascii="Times New Roman" w:hAnsi="Times New Roman" w:eastAsia="Times New Roman" w:cs="Times New Roman"/>
          <w:lang w:val="en-AU"/>
        </w:rPr>
        <w:t>The HKB-11 lymphoma cells were placed in 6-well plates at a 3 × 10</w:t>
      </w:r>
      <w:r w:rsidRPr="2D9F5D53">
        <w:rPr>
          <w:rFonts w:ascii="Times New Roman" w:hAnsi="Times New Roman" w:eastAsia="Times New Roman" w:cs="Times New Roman"/>
          <w:vertAlign w:val="superscript"/>
          <w:lang w:val="en-AU"/>
        </w:rPr>
        <w:t>6</w:t>
      </w:r>
      <w:r w:rsidRPr="2D9F5D53">
        <w:rPr>
          <w:rFonts w:ascii="Times New Roman" w:hAnsi="Times New Roman" w:eastAsia="Times New Roman" w:cs="Times New Roman"/>
          <w:lang w:val="en-AU"/>
        </w:rPr>
        <w:t xml:space="preserve"> cells/well density and incubated overnight at 37°C in 5% CO</w:t>
      </w:r>
      <w:r w:rsidRPr="2D9F5D53">
        <w:rPr>
          <w:rFonts w:ascii="Times New Roman" w:hAnsi="Times New Roman" w:eastAsia="Times New Roman" w:cs="Times New Roman"/>
          <w:vertAlign w:val="subscript"/>
          <w:lang w:val="en-AU"/>
        </w:rPr>
        <w:t>2</w:t>
      </w:r>
      <w:r w:rsidRPr="2D9F5D53">
        <w:rPr>
          <w:rFonts w:ascii="Times New Roman" w:hAnsi="Times New Roman" w:eastAsia="Times New Roman" w:cs="Times New Roman"/>
          <w:lang w:val="en-AU"/>
        </w:rPr>
        <w:t>. After removing the media, it was replaced with fresh DMEM/F-12 medium supplemented with 10% FBS, and the cultured flasks were treated with specific doses of N: UB, Vinc and their combinations. Treatments were done in triplicate and incubated for 24 h under the same conditions. Following incubation, each flask of cells was subjected to a 0.25% w/v trypsin treatment for 4 min at 37°C, and the cell culture medium was collected. Additionally, an equal volume of DMEM F-12 medium (containing 10% FBS) was added before mixing with the previously collected media to neutralise the trypsin. The cells were spun in a centrifuge at 500 × g for 5 min at RT. The cell pellets were washed twice with ice-cold PBS and spun again at 500× g for 5 min. These cell pellets were then suspended in a lysis buffer that included 1 μL of universal nuclease (Easypep Mini Kit) and supplemented with Halt™ Protease and Phosphatase Inhibitor Cocktail in a 1:100 ratio (Thermo Fisher Scientific, Sydney, NSW, Australia). The cells were gently pipetted 10–15 times to reduce the sample's viscosity and then placed on ice for 20 min. The lysate was centrifuged at 14,000 rpm for 20 min at 4°C, and the resulting liquid was collected.</w:t>
      </w:r>
    </w:p>
    <w:p w:rsidR="00A724ED" w:rsidP="2D9F5D53" w:rsidRDefault="00A724ED" w14:paraId="72A796F9" w14:textId="59D738CB">
      <w:pPr>
        <w:spacing w:after="0" w:line="360" w:lineRule="auto"/>
        <w:jc w:val="both"/>
        <w:rPr>
          <w:rFonts w:ascii="Times New Roman" w:hAnsi="Times New Roman" w:eastAsia="Times New Roman" w:cs="Times New Roman"/>
        </w:rPr>
      </w:pPr>
    </w:p>
    <w:p w:rsidR="00A724ED" w:rsidP="2D9F5D53" w:rsidRDefault="700C64C0" w14:paraId="4B0CBF52" w14:textId="76E233C0">
      <w:pPr>
        <w:spacing w:after="0" w:line="360" w:lineRule="auto"/>
        <w:jc w:val="both"/>
        <w:rPr>
          <w:rFonts w:ascii="Times New Roman" w:hAnsi="Times New Roman" w:eastAsia="Times New Roman" w:cs="Times New Roman"/>
        </w:rPr>
      </w:pPr>
      <w:r w:rsidRPr="29E68B05" w:rsidR="700C64C0">
        <w:rPr>
          <w:rFonts w:ascii="Times New Roman" w:hAnsi="Times New Roman" w:eastAsia="Times New Roman" w:cs="Times New Roman"/>
          <w:b w:val="1"/>
          <w:bCs w:val="1"/>
          <w:i w:val="1"/>
          <w:iCs w:val="1"/>
          <w:lang w:val="en-AU"/>
        </w:rPr>
        <w:t>Protein quantification</w:t>
      </w:r>
    </w:p>
    <w:p w:rsidR="00A724ED" w:rsidP="2D9F5D53" w:rsidRDefault="700C64C0" w14:paraId="44AB8E14" w14:textId="3E39423B">
      <w:pPr>
        <w:spacing w:after="0" w:line="360" w:lineRule="auto"/>
        <w:jc w:val="both"/>
        <w:rPr>
          <w:rFonts w:ascii="Times New Roman" w:hAnsi="Times New Roman" w:eastAsia="Times New Roman" w:cs="Times New Roman"/>
        </w:rPr>
      </w:pPr>
      <w:r w:rsidRPr="2D9F5D53">
        <w:rPr>
          <w:rFonts w:ascii="Times New Roman" w:hAnsi="Times New Roman" w:eastAsia="Times New Roman" w:cs="Times New Roman"/>
          <w:lang w:val="en-AU"/>
        </w:rPr>
        <w:t>The Pierce™ Rapid Gold BCA Protein Assay Kit (#A53226, Thermo Fisher Scientific, Sydney, NSW, Australia) was used to determine the protein concentration of the cell lysate in triplicate, using a bovine serum albumin (BSA) standard, following the manufacturer's protocol (Eladwy et al., 2024; Jaye et al., 2023). In brief, 1 μL of each sample replicate was diluted 1:20 in Milli-Q water, along with 20 μL of each standard, and then placed in a 96-well plate with 200 μL of working reagent in each well. Samples were diluted to a concentration within the 20–2,000 μg/mL working range. The plate was thoroughly mixed on a plate shaker for 30 s, incubated at RT for 5 min, and then the absorbance was measured within 20 min at 480 nm using a microplate spectrophotometer (BMG CLARIOstar, Melbourne, VIC, Australia). The blank absorbance was subtracted from all other readings of standards and samples, and the sample concentration was determined using the established BSA standard calibration curve. The samples were then stored at −80°C for further analysis.</w:t>
      </w:r>
    </w:p>
    <w:p w:rsidR="00A724ED" w:rsidP="2D9F5D53" w:rsidRDefault="00A724ED" w14:paraId="2A969BDB" w14:textId="2E51CF45">
      <w:pPr>
        <w:spacing w:after="0" w:line="240" w:lineRule="auto"/>
        <w:jc w:val="both"/>
        <w:rPr>
          <w:rFonts w:ascii="Times New Roman" w:hAnsi="Times New Roman" w:eastAsia="Times New Roman" w:cs="Times New Roman"/>
        </w:rPr>
      </w:pPr>
    </w:p>
    <w:p w:rsidR="00A724ED" w:rsidP="2D9F5D53" w:rsidRDefault="700C64C0" w14:paraId="382C67AD" w14:textId="5C973215">
      <w:pPr>
        <w:spacing w:after="0" w:line="240" w:lineRule="auto"/>
        <w:jc w:val="both"/>
        <w:rPr>
          <w:rFonts w:ascii="Times New Roman" w:hAnsi="Times New Roman" w:eastAsia="Times New Roman" w:cs="Times New Roman"/>
        </w:rPr>
      </w:pPr>
      <w:r w:rsidRPr="29E68B05" w:rsidR="700C64C0">
        <w:rPr>
          <w:rFonts w:ascii="Times New Roman" w:hAnsi="Times New Roman" w:eastAsia="Times New Roman" w:cs="Times New Roman"/>
          <w:b w:val="1"/>
          <w:bCs w:val="1"/>
          <w:i w:val="1"/>
          <w:iCs w:val="1"/>
          <w:lang w:val="en-AU"/>
        </w:rPr>
        <w:t>Peptides preparation and clean-up</w:t>
      </w:r>
    </w:p>
    <w:p w:rsidR="00A724ED" w:rsidP="2D9F5D53" w:rsidRDefault="00A724ED" w14:paraId="79EFC93A" w14:textId="1484408D">
      <w:pPr>
        <w:spacing w:after="0" w:line="240" w:lineRule="auto"/>
        <w:jc w:val="both"/>
        <w:rPr>
          <w:rFonts w:ascii="Times New Roman" w:hAnsi="Times New Roman" w:eastAsia="Times New Roman" w:cs="Times New Roman"/>
        </w:rPr>
      </w:pPr>
    </w:p>
    <w:p w:rsidR="00A724ED" w:rsidP="2D9F5D53" w:rsidRDefault="700C64C0" w14:paraId="03163A10" w14:textId="6DC637B3">
      <w:pPr>
        <w:spacing w:after="0" w:line="360" w:lineRule="auto"/>
        <w:jc w:val="both"/>
        <w:rPr>
          <w:rFonts w:ascii="Times New Roman" w:hAnsi="Times New Roman" w:eastAsia="Times New Roman" w:cs="Times New Roman"/>
        </w:rPr>
      </w:pPr>
      <w:r w:rsidRPr="2D9F5D53">
        <w:rPr>
          <w:rFonts w:ascii="Times New Roman" w:hAnsi="Times New Roman" w:eastAsia="Times New Roman" w:cs="Times New Roman"/>
          <w:lang w:val="en-AU"/>
        </w:rPr>
        <w:t>The protein samples (100 μg) were subjected to chemical and enzymatic sample processing using the EasyPep™ Mini MS Sample Prep Kit following the manufacturer's instructions (Thermo Fisher Scientific, Sydney, NSW, Australia) and as reported in the literature (Dang et al., 2024; Eladwy et al., 2024; Jaye et al., 2023). Briefly, the sample volume was adjusted to 100 μL using a lysis buffer in a microcentrifuge tube. Subsequently, the reduction and alkylation solutions (50 μL each) were introduced, gently mixed, and incubated at 95°C with a heat block for 10 min. The samples were allowed to cool to RT, after which 50 μL of the reconstituted trypsin/lys-C protease mixture was added to each sample and incubated with shaking at 37°C for 3 h. Following incubation, 50 μL of a digestion stop solution was gently mixed into the samples. Peptide clean-up columns were used to remove both hydrophilic and hydrophobic impurities. The resulting clean peptide samples were dehydrated using a vacuum centrifuge and reconstituted in 100 μL of a 0.1% formic acid solution in water for LC–MS analysis. Subsequently, these samples were carefully transferred to maximum recovery sample vials (Waters Corp., Milford, MA, United States).</w:t>
      </w:r>
    </w:p>
    <w:p w:rsidR="00A724ED" w:rsidP="2D9F5D53" w:rsidRDefault="00A724ED" w14:paraId="5941E566" w14:textId="3001CCA2">
      <w:pPr>
        <w:spacing w:after="0" w:line="240" w:lineRule="auto"/>
        <w:jc w:val="both"/>
        <w:rPr>
          <w:rFonts w:ascii="Times New Roman" w:hAnsi="Times New Roman" w:eastAsia="Times New Roman" w:cs="Times New Roman"/>
        </w:rPr>
      </w:pPr>
    </w:p>
    <w:p w:rsidR="00A724ED" w:rsidRDefault="00A724ED" w14:paraId="2C078E63" w14:textId="3DA04518"/>
    <w:sectPr w:rsidR="00A724E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646F23"/>
    <w:rsid w:val="009F2BCB"/>
    <w:rsid w:val="00A724ED"/>
    <w:rsid w:val="1D646F23"/>
    <w:rsid w:val="29E68B05"/>
    <w:rsid w:val="2D9F5D53"/>
    <w:rsid w:val="700C64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6F23"/>
  <w15:chartTrackingRefBased/>
  <w15:docId w15:val="{F47CFCC1-F6A9-4F99-9E4B-39B0EA16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Muhammad (Maz) Ali</dc:creator>
  <keywords/>
  <dc:description/>
  <lastModifiedBy>Muhammad (Maz) Ali</lastModifiedBy>
  <revision>2</revision>
  <dcterms:created xsi:type="dcterms:W3CDTF">2025-07-07T01:58:00.0000000Z</dcterms:created>
  <dcterms:modified xsi:type="dcterms:W3CDTF">2025-07-07T01:59:33.5787789Z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6a7106-2ce5-432c-ad85-ae4596379748_Enabled">
    <vt:lpwstr>true</vt:lpwstr>
  </property>
  <property fmtid="{D5CDD505-2E9C-101B-9397-08002B2CF9AE}" pid="3" name="MSIP_Label_c96a7106-2ce5-432c-ad85-ae4596379748_SetDate">
    <vt:lpwstr>2025-07-07T01:58:54Z</vt:lpwstr>
  </property>
  <property fmtid="{D5CDD505-2E9C-101B-9397-08002B2CF9AE}" pid="4" name="MSIP_Label_c96a7106-2ce5-432c-ad85-ae4596379748_Method">
    <vt:lpwstr>Standard</vt:lpwstr>
  </property>
  <property fmtid="{D5CDD505-2E9C-101B-9397-08002B2CF9AE}" pid="5" name="MSIP_Label_c96a7106-2ce5-432c-ad85-ae4596379748_Name">
    <vt:lpwstr>PRIVATE</vt:lpwstr>
  </property>
  <property fmtid="{D5CDD505-2E9C-101B-9397-08002B2CF9AE}" pid="6" name="MSIP_Label_c96a7106-2ce5-432c-ad85-ae4596379748_SiteId">
    <vt:lpwstr>7e400554-fd39-487a-894e-4d95dae53d4d</vt:lpwstr>
  </property>
  <property fmtid="{D5CDD505-2E9C-101B-9397-08002B2CF9AE}" pid="7" name="MSIP_Label_c96a7106-2ce5-432c-ad85-ae4596379748_ActionId">
    <vt:lpwstr>cef4bb1f-cb8d-43e5-bf17-d2e5cfe74eb0</vt:lpwstr>
  </property>
  <property fmtid="{D5CDD505-2E9C-101B-9397-08002B2CF9AE}" pid="8" name="MSIP_Label_c96a7106-2ce5-432c-ad85-ae4596379748_ContentBits">
    <vt:lpwstr>0</vt:lpwstr>
  </property>
  <property fmtid="{D5CDD505-2E9C-101B-9397-08002B2CF9AE}" pid="9" name="MSIP_Label_c96a7106-2ce5-432c-ad85-ae4596379748_Tag">
    <vt:lpwstr>10, 3, 0, 2</vt:lpwstr>
  </property>
</Properties>
</file>